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9CAD" w14:textId="77777777" w:rsidR="00ED6479" w:rsidRDefault="00ED6479" w:rsidP="00ED647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68E64FA" w14:textId="77777777" w:rsidR="00ED6479" w:rsidRPr="00FE1A53" w:rsidRDefault="00ED6479" w:rsidP="00ED6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A53">
        <w:rPr>
          <w:rFonts w:ascii="Arial" w:hAnsi="Arial" w:cs="Arial"/>
          <w:b/>
          <w:sz w:val="24"/>
          <w:szCs w:val="24"/>
        </w:rPr>
        <w:t>I</w:t>
      </w:r>
      <w:r w:rsidR="00A00C29">
        <w:rPr>
          <w:rFonts w:ascii="Arial" w:hAnsi="Arial" w:cs="Arial"/>
          <w:b/>
          <w:sz w:val="24"/>
          <w:szCs w:val="24"/>
        </w:rPr>
        <w:t>II. OBRAZLOŽENJE POLUGODIŠNJEG IZVJEŠTAJA O IZVRŠENJU PRORAČUNA</w:t>
      </w:r>
    </w:p>
    <w:p w14:paraId="3FC49347" w14:textId="77777777" w:rsidR="00ED6479" w:rsidRDefault="00ED6479" w:rsidP="00ED64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52D711" w14:textId="77777777" w:rsidR="00ED6479" w:rsidRPr="00FE1A53" w:rsidRDefault="00ED6479" w:rsidP="00ED6479">
      <w:pPr>
        <w:spacing w:after="0" w:line="240" w:lineRule="auto"/>
        <w:jc w:val="center"/>
        <w:rPr>
          <w:rFonts w:ascii="Arial" w:hAnsi="Arial" w:cs="Arial"/>
          <w:b/>
        </w:rPr>
      </w:pPr>
      <w:r w:rsidRPr="00FE1A53">
        <w:rPr>
          <w:rFonts w:ascii="Arial" w:hAnsi="Arial" w:cs="Arial"/>
          <w:b/>
        </w:rPr>
        <w:t xml:space="preserve">Članak </w:t>
      </w:r>
      <w:r w:rsidR="00A00C29">
        <w:rPr>
          <w:rFonts w:ascii="Arial" w:hAnsi="Arial" w:cs="Arial"/>
          <w:b/>
        </w:rPr>
        <w:t>4</w:t>
      </w:r>
      <w:r w:rsidRPr="00FE1A53">
        <w:rPr>
          <w:rFonts w:ascii="Arial" w:hAnsi="Arial" w:cs="Arial"/>
          <w:b/>
        </w:rPr>
        <w:t>.</w:t>
      </w:r>
    </w:p>
    <w:p w14:paraId="4C11A3EE" w14:textId="77777777" w:rsidR="00ED6479" w:rsidRPr="00FE1A53" w:rsidRDefault="00ED6479" w:rsidP="00ED64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BCACBEF" w14:textId="77777777" w:rsidR="00ED6479" w:rsidRDefault="00A00C29" w:rsidP="00ED64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  <w:t>Obrazloženje polugodišnjeg izvještaja o izvršenju proračuna sastoji se od obrazloženja općeg dijela izvještaja o izvršenju proračuna.</w:t>
      </w:r>
    </w:p>
    <w:p w14:paraId="0DFE6DF0" w14:textId="77777777" w:rsidR="00ED6479" w:rsidRDefault="00ED6479" w:rsidP="00ED6479">
      <w:pPr>
        <w:spacing w:after="0" w:line="240" w:lineRule="auto"/>
        <w:rPr>
          <w:rFonts w:ascii="Arial" w:hAnsi="Arial" w:cs="Arial"/>
        </w:rPr>
      </w:pPr>
    </w:p>
    <w:p w14:paraId="74CC490E" w14:textId="77777777" w:rsidR="00AB5100" w:rsidRDefault="00AB5100" w:rsidP="00AB5100">
      <w:pPr>
        <w:jc w:val="right"/>
        <w:rPr>
          <w:rFonts w:ascii="Calibri" w:eastAsia="Calibri" w:hAnsi="Calibri" w:cs="Times New Roman"/>
          <w:b/>
          <w:i/>
        </w:rPr>
      </w:pPr>
    </w:p>
    <w:p w14:paraId="5C1B991E" w14:textId="77777777" w:rsidR="00AB5100" w:rsidRPr="00AB5100" w:rsidRDefault="00AB5100" w:rsidP="00AB5100">
      <w:pPr>
        <w:rPr>
          <w:rFonts w:ascii="Arial" w:eastAsia="Calibri" w:hAnsi="Arial" w:cs="Arial"/>
          <w:b/>
          <w:sz w:val="20"/>
          <w:szCs w:val="20"/>
        </w:rPr>
      </w:pPr>
      <w:r w:rsidRPr="00AB5100">
        <w:rPr>
          <w:rFonts w:ascii="Arial" w:eastAsia="Calibri" w:hAnsi="Arial" w:cs="Arial"/>
          <w:b/>
          <w:sz w:val="20"/>
          <w:szCs w:val="20"/>
        </w:rPr>
        <w:t xml:space="preserve">UKUPNI PRIHODI I PRIMICI :  338.575,63 </w:t>
      </w:r>
    </w:p>
    <w:p w14:paraId="29CDF7A1" w14:textId="77777777" w:rsidR="00AB5100" w:rsidRPr="00AB5100" w:rsidRDefault="00AB5100" w:rsidP="00AB5100">
      <w:pPr>
        <w:rPr>
          <w:rFonts w:ascii="Arial" w:eastAsia="Calibri" w:hAnsi="Arial" w:cs="Arial"/>
          <w:b/>
          <w:sz w:val="20"/>
          <w:szCs w:val="20"/>
        </w:rPr>
      </w:pPr>
      <w:r w:rsidRPr="00AB5100">
        <w:rPr>
          <w:rFonts w:ascii="Arial" w:eastAsia="Calibri" w:hAnsi="Arial" w:cs="Arial"/>
          <w:b/>
          <w:sz w:val="20"/>
          <w:szCs w:val="20"/>
        </w:rPr>
        <w:t>UKUPNI RASHODI I IZDACI :   436.961,37</w:t>
      </w:r>
    </w:p>
    <w:p w14:paraId="5DA1AC42" w14:textId="77777777" w:rsidR="00AB5100" w:rsidRPr="00AB5100" w:rsidRDefault="00AB5100" w:rsidP="00AB5100">
      <w:pPr>
        <w:rPr>
          <w:rFonts w:ascii="Arial" w:eastAsia="Calibri" w:hAnsi="Arial" w:cs="Arial"/>
          <w:b/>
          <w:sz w:val="20"/>
          <w:szCs w:val="20"/>
        </w:rPr>
      </w:pPr>
      <w:r w:rsidRPr="00AB5100">
        <w:rPr>
          <w:rFonts w:ascii="Arial" w:eastAsia="Calibri" w:hAnsi="Arial" w:cs="Arial"/>
          <w:b/>
          <w:sz w:val="20"/>
          <w:szCs w:val="20"/>
        </w:rPr>
        <w:t xml:space="preserve">MANJAK PRIHODA I PRIMITAKA  :  98.385,74 </w:t>
      </w:r>
    </w:p>
    <w:p w14:paraId="1E5A58D7" w14:textId="77777777" w:rsidR="00AB5100" w:rsidRPr="00AB5100" w:rsidRDefault="00AB5100" w:rsidP="00AB5100">
      <w:pPr>
        <w:rPr>
          <w:rFonts w:ascii="Arial" w:eastAsia="Calibri" w:hAnsi="Arial" w:cs="Arial"/>
          <w:b/>
          <w:sz w:val="20"/>
          <w:szCs w:val="20"/>
        </w:rPr>
      </w:pPr>
      <w:r w:rsidRPr="00AB5100">
        <w:rPr>
          <w:rFonts w:ascii="Arial" w:eastAsia="Calibri" w:hAnsi="Arial" w:cs="Arial"/>
          <w:b/>
          <w:sz w:val="20"/>
          <w:szCs w:val="20"/>
        </w:rPr>
        <w:t xml:space="preserve">VIŠAK PRIHODA I PRIMITAKA (PRENESENI) :  548.012,50 </w:t>
      </w:r>
    </w:p>
    <w:p w14:paraId="0B0EE30F" w14:textId="77777777" w:rsidR="00AB5100" w:rsidRDefault="00AB5100" w:rsidP="00AB5100">
      <w:pPr>
        <w:rPr>
          <w:rFonts w:ascii="Arial" w:eastAsia="Calibri" w:hAnsi="Arial" w:cs="Arial"/>
          <w:b/>
          <w:sz w:val="20"/>
          <w:szCs w:val="20"/>
        </w:rPr>
      </w:pPr>
      <w:r w:rsidRPr="00AB5100">
        <w:rPr>
          <w:rFonts w:ascii="Arial" w:eastAsia="Calibri" w:hAnsi="Arial" w:cs="Arial"/>
          <w:b/>
          <w:sz w:val="20"/>
          <w:szCs w:val="20"/>
        </w:rPr>
        <w:t>VIŠAK PRIHODA I PRIMITAKA RASPOLOŽIV U SLJEDEĆEM RAZDOBLJU : 449.626,76</w:t>
      </w:r>
    </w:p>
    <w:p w14:paraId="55297DB4" w14:textId="77777777" w:rsidR="00AB5100" w:rsidRDefault="00AB5100" w:rsidP="00AB510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STANJE NOVČANIH SREDSTAVA NA POČETKU GODINE:</w:t>
      </w:r>
      <w:r w:rsidR="005D026D">
        <w:rPr>
          <w:rFonts w:ascii="Arial" w:eastAsia="Calibri" w:hAnsi="Arial" w:cs="Arial"/>
          <w:b/>
          <w:sz w:val="20"/>
          <w:szCs w:val="20"/>
        </w:rPr>
        <w:t xml:space="preserve"> 554.177,84</w:t>
      </w:r>
    </w:p>
    <w:p w14:paraId="33C858A1" w14:textId="77777777" w:rsidR="00AB5100" w:rsidRPr="00AB5100" w:rsidRDefault="00AB5100" w:rsidP="00AB510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STANJE NOVČANIH SREDSTAVA NA 30.06.2024.:</w:t>
      </w:r>
      <w:r w:rsidR="005D026D">
        <w:rPr>
          <w:rFonts w:ascii="Arial" w:eastAsia="Calibri" w:hAnsi="Arial" w:cs="Arial"/>
          <w:b/>
          <w:sz w:val="20"/>
          <w:szCs w:val="20"/>
        </w:rPr>
        <w:t xml:space="preserve"> 490.999,02</w:t>
      </w:r>
    </w:p>
    <w:p w14:paraId="27FCE418" w14:textId="77777777" w:rsidR="00AB5100" w:rsidRPr="00AB5100" w:rsidRDefault="00AB5100" w:rsidP="00AB5100">
      <w:pPr>
        <w:rPr>
          <w:rFonts w:ascii="Arial" w:eastAsia="Calibri" w:hAnsi="Arial" w:cs="Arial"/>
          <w:b/>
          <w:i/>
          <w:sz w:val="20"/>
          <w:szCs w:val="20"/>
        </w:rPr>
      </w:pPr>
    </w:p>
    <w:p w14:paraId="2BC72AC3" w14:textId="77777777" w:rsidR="00AB5100" w:rsidRPr="00AB5100" w:rsidRDefault="00AB5100" w:rsidP="00AB5100">
      <w:pPr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AB5100"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                               </w:t>
      </w:r>
    </w:p>
    <w:p w14:paraId="12C03D9B" w14:textId="77777777" w:rsidR="00AB5100" w:rsidRPr="00AB5100" w:rsidRDefault="00AB5100" w:rsidP="00AB5100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AB5100">
        <w:rPr>
          <w:rFonts w:ascii="Arial" w:eastAsia="Calibri" w:hAnsi="Arial" w:cs="Arial"/>
          <w:b/>
          <w:sz w:val="20"/>
          <w:szCs w:val="20"/>
          <w:u w:val="single"/>
        </w:rPr>
        <w:t>PRIHODI POSLOVANJA</w:t>
      </w:r>
      <w:r w:rsidRPr="00AB5100">
        <w:rPr>
          <w:rFonts w:ascii="Arial" w:eastAsia="Calibri" w:hAnsi="Arial" w:cs="Arial"/>
          <w:sz w:val="20"/>
          <w:szCs w:val="20"/>
          <w:u w:val="single"/>
        </w:rPr>
        <w:t xml:space="preserve"> (6) – iznose </w:t>
      </w:r>
      <w:r w:rsidRPr="00AB5100">
        <w:rPr>
          <w:rFonts w:ascii="Arial" w:eastAsia="Calibri" w:hAnsi="Arial" w:cs="Arial"/>
          <w:b/>
          <w:sz w:val="20"/>
          <w:szCs w:val="20"/>
          <w:u w:val="single"/>
        </w:rPr>
        <w:t>261.696,28</w:t>
      </w:r>
      <w:r w:rsidRPr="00AB5100">
        <w:rPr>
          <w:rFonts w:ascii="Arial" w:eastAsia="Calibri" w:hAnsi="Arial" w:cs="Arial"/>
          <w:sz w:val="20"/>
          <w:szCs w:val="20"/>
          <w:u w:val="single"/>
        </w:rPr>
        <w:t xml:space="preserve"> </w:t>
      </w:r>
    </w:p>
    <w:p w14:paraId="740810B6" w14:textId="77777777" w:rsidR="00AB5100" w:rsidRPr="00AB5100" w:rsidRDefault="00AB5100" w:rsidP="00AB5100">
      <w:pPr>
        <w:jc w:val="both"/>
        <w:rPr>
          <w:rFonts w:ascii="Arial" w:eastAsia="Calibri" w:hAnsi="Arial" w:cs="Arial"/>
          <w:sz w:val="20"/>
          <w:szCs w:val="20"/>
        </w:rPr>
      </w:pPr>
      <w:r w:rsidRPr="00AB5100">
        <w:rPr>
          <w:rFonts w:ascii="Arial" w:eastAsia="Calibri" w:hAnsi="Arial" w:cs="Arial"/>
          <w:sz w:val="20"/>
          <w:szCs w:val="20"/>
        </w:rPr>
        <w:t xml:space="preserve">Prihodi poslovanja su manji  u odnosu na isto razdoblje prethodne godine, indeks 64,1. </w:t>
      </w:r>
    </w:p>
    <w:p w14:paraId="7476192A" w14:textId="77777777" w:rsidR="00AB5100" w:rsidRPr="00AB5100" w:rsidRDefault="00AB5100" w:rsidP="00AB5100">
      <w:pPr>
        <w:jc w:val="both"/>
        <w:rPr>
          <w:rFonts w:ascii="Arial" w:eastAsia="Calibri" w:hAnsi="Arial" w:cs="Arial"/>
          <w:sz w:val="20"/>
          <w:szCs w:val="20"/>
        </w:rPr>
      </w:pPr>
      <w:r w:rsidRPr="00AB5100">
        <w:rPr>
          <w:rFonts w:ascii="Arial" w:eastAsia="Calibri" w:hAnsi="Arial" w:cs="Arial"/>
          <w:sz w:val="20"/>
          <w:szCs w:val="20"/>
        </w:rPr>
        <w:t>Do iskazanog smanjenja prihoda u ovom razdoblju je došlo zbog toga što je u istom razdoblju prošle godine Općina ostvarila značajnu kapitalnu pomoć temeljem prijenosa EU sredstava za obnovu cesta od potresa.</w:t>
      </w:r>
    </w:p>
    <w:p w14:paraId="71B0549E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sz w:val="20"/>
          <w:szCs w:val="20"/>
        </w:rPr>
        <w:t xml:space="preserve">Vrijednosno prvi po udjelu u prihodima su prihodi od poreza (61) – </w:t>
      </w:r>
      <w:r w:rsidRPr="00AB5100">
        <w:rPr>
          <w:rFonts w:ascii="Arial" w:hAnsi="Arial" w:cs="Arial"/>
          <w:b/>
          <w:bCs/>
          <w:sz w:val="20"/>
          <w:szCs w:val="20"/>
        </w:rPr>
        <w:t>122.677,36</w:t>
      </w:r>
      <w:r w:rsidRPr="00AB5100">
        <w:rPr>
          <w:rFonts w:ascii="Arial" w:hAnsi="Arial" w:cs="Arial"/>
          <w:sz w:val="20"/>
          <w:szCs w:val="20"/>
        </w:rPr>
        <w:t>,  indeks 85,5 u odnosu na isto razdoblje prethodne godine, od čega su najznačajniji prihodi od poreza  na dohodak  117.599,02,  indeks 87,7 u odnosu na isto razdoblje prethodne godine. Prihod od poreza na dohodak je manji u odnosu na prethodno razdoblje jer je od 01.01.2024. ukinut prirez porezu na dohodak.</w:t>
      </w:r>
    </w:p>
    <w:p w14:paraId="14AB350D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sz w:val="20"/>
          <w:szCs w:val="20"/>
        </w:rPr>
        <w:t>Prihodi od poreza na imovinu iznose 4.851,78 i značajno su manji od ostvarenja u istom razdoblju prethodne godine, indeks 53,9 u odnosu na is</w:t>
      </w:r>
      <w:r>
        <w:rPr>
          <w:rFonts w:ascii="Arial" w:hAnsi="Arial" w:cs="Arial"/>
          <w:sz w:val="20"/>
          <w:szCs w:val="20"/>
        </w:rPr>
        <w:t xml:space="preserve">to razdoblje prethodne godine, </w:t>
      </w:r>
      <w:r w:rsidRPr="00AB510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AB5100">
        <w:rPr>
          <w:rFonts w:ascii="Arial" w:hAnsi="Arial" w:cs="Arial"/>
          <w:sz w:val="20"/>
          <w:szCs w:val="20"/>
        </w:rPr>
        <w:t>porez na promet ostvaren je u iznosu od 226,56, indeks 75,1 prema istom razdoblju prošle godine.</w:t>
      </w:r>
    </w:p>
    <w:p w14:paraId="071EECBF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14:paraId="486D17A1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sz w:val="20"/>
          <w:szCs w:val="20"/>
        </w:rPr>
        <w:t xml:space="preserve">Pomoći unutar općeg proračuna (63), odnosno prihodi od fiskalnog izravnanja su drugi  po udjelu u prihodima poslovanja – </w:t>
      </w:r>
      <w:r w:rsidRPr="00AB5100">
        <w:rPr>
          <w:rFonts w:ascii="Arial" w:hAnsi="Arial" w:cs="Arial"/>
          <w:b/>
          <w:bCs/>
          <w:sz w:val="20"/>
          <w:szCs w:val="20"/>
        </w:rPr>
        <w:t>121.804,80</w:t>
      </w:r>
      <w:r w:rsidRPr="00AB5100">
        <w:rPr>
          <w:rFonts w:ascii="Arial" w:hAnsi="Arial" w:cs="Arial"/>
          <w:sz w:val="20"/>
          <w:szCs w:val="20"/>
        </w:rPr>
        <w:t xml:space="preserve">, indeks 105,8 u odnosu na isto razdoblje prethodne godine. </w:t>
      </w:r>
    </w:p>
    <w:p w14:paraId="1C3056D4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14:paraId="057FC69B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sz w:val="20"/>
          <w:szCs w:val="20"/>
        </w:rPr>
        <w:t xml:space="preserve">Prihodi od imovine (64) iznose </w:t>
      </w:r>
      <w:r w:rsidRPr="00AB5100">
        <w:rPr>
          <w:rFonts w:ascii="Arial" w:hAnsi="Arial" w:cs="Arial"/>
          <w:b/>
          <w:bCs/>
          <w:sz w:val="20"/>
          <w:szCs w:val="20"/>
        </w:rPr>
        <w:t>3.269,22,</w:t>
      </w:r>
      <w:r w:rsidRPr="00AB5100">
        <w:rPr>
          <w:rFonts w:ascii="Arial" w:hAnsi="Arial" w:cs="Arial"/>
          <w:sz w:val="20"/>
          <w:szCs w:val="20"/>
        </w:rPr>
        <w:t xml:space="preserve"> indeks 95,8 u odnosu na isto razdoblje prethodne godine.</w:t>
      </w:r>
    </w:p>
    <w:p w14:paraId="11F2D5A5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14:paraId="2BFACA4C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sz w:val="20"/>
          <w:szCs w:val="20"/>
        </w:rPr>
        <w:t xml:space="preserve">Prihodi od upravnih i drugih pristojbi i naknada  (65) – (komunalna naknada, komunalni doprinosi i prihodi po posebnim propisima) ostvareni u ovom razdoblju iznose </w:t>
      </w:r>
      <w:r w:rsidRPr="00AB5100">
        <w:rPr>
          <w:rFonts w:ascii="Arial" w:hAnsi="Arial" w:cs="Arial"/>
          <w:b/>
          <w:bCs/>
          <w:sz w:val="20"/>
          <w:szCs w:val="20"/>
        </w:rPr>
        <w:t xml:space="preserve">13.944,90, </w:t>
      </w:r>
      <w:r w:rsidRPr="00AB5100">
        <w:rPr>
          <w:rFonts w:ascii="Arial" w:hAnsi="Arial" w:cs="Arial"/>
          <w:sz w:val="20"/>
          <w:szCs w:val="20"/>
        </w:rPr>
        <w:t>indeks 84,6.</w:t>
      </w:r>
    </w:p>
    <w:p w14:paraId="4F2F97A8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D9DDE5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422A08A" w14:textId="77777777" w:rsidR="00AB5100" w:rsidRPr="005D026D" w:rsidRDefault="005D026D" w:rsidP="00AB5100">
      <w:pPr>
        <w:pStyle w:val="Odlomakpopisa"/>
        <w:spacing w:after="20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026D">
        <w:rPr>
          <w:rFonts w:ascii="Arial" w:hAnsi="Arial" w:cs="Arial"/>
          <w:b/>
          <w:sz w:val="20"/>
          <w:szCs w:val="20"/>
          <w:u w:val="single"/>
        </w:rPr>
        <w:t>PRIMICI OD FINANCIJSKE IMOVINE I ZADUŽIVANJA (8) – iznose 76.879,35.</w:t>
      </w:r>
    </w:p>
    <w:p w14:paraId="0F759BD6" w14:textId="77777777" w:rsidR="005D026D" w:rsidRPr="005D026D" w:rsidRDefault="005D026D" w:rsidP="00AB5100">
      <w:pPr>
        <w:pStyle w:val="Odlomakpopisa"/>
        <w:spacing w:after="20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DE82215" w14:textId="77777777" w:rsidR="005D026D" w:rsidRPr="00AB5100" w:rsidRDefault="005D026D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Odnose se na dugoročni kredit od HBOR-a koji je podignut za projekt IZGRADNJE I OPREMANJA DJEČJEG VRTIĆA RAKOVEC u iznosu od 1.200.000,00 €. Za kredit je dobivena suglasnost Vlade </w:t>
      </w:r>
      <w:r>
        <w:rPr>
          <w:rFonts w:ascii="Arial" w:hAnsi="Arial" w:cs="Arial"/>
          <w:sz w:val="20"/>
          <w:szCs w:val="20"/>
        </w:rPr>
        <w:lastRenderedPageBreak/>
        <w:t>RH. U izvještajnom razdoblju je iskorišten iznos kredita u iznosu od 76.879,35 za plaćanje I. i II. privremene situacije izvođaču radova.</w:t>
      </w:r>
    </w:p>
    <w:p w14:paraId="3D704217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14:paraId="16A44A9E" w14:textId="77777777" w:rsidR="00AB5100" w:rsidRPr="00AB5100" w:rsidRDefault="00AB5100" w:rsidP="00AB5100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B5100">
        <w:rPr>
          <w:rFonts w:ascii="Arial" w:eastAsia="Calibri" w:hAnsi="Arial" w:cs="Arial"/>
          <w:b/>
          <w:sz w:val="20"/>
          <w:szCs w:val="20"/>
          <w:u w:val="single"/>
        </w:rPr>
        <w:t>RASHODI POSLOVANJA</w:t>
      </w:r>
      <w:r w:rsidRPr="00AB5100">
        <w:rPr>
          <w:rFonts w:ascii="Arial" w:eastAsia="Calibri" w:hAnsi="Arial" w:cs="Arial"/>
          <w:sz w:val="20"/>
          <w:szCs w:val="20"/>
          <w:u w:val="single"/>
        </w:rPr>
        <w:t xml:space="preserve"> (3) –  iznose </w:t>
      </w:r>
      <w:r w:rsidRPr="00AB5100">
        <w:rPr>
          <w:rFonts w:ascii="Arial" w:eastAsia="Calibri" w:hAnsi="Arial" w:cs="Arial"/>
          <w:b/>
          <w:sz w:val="20"/>
          <w:szCs w:val="20"/>
          <w:u w:val="single"/>
        </w:rPr>
        <w:t xml:space="preserve">185.924,21  </w:t>
      </w:r>
    </w:p>
    <w:p w14:paraId="37CF5635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sz w:val="20"/>
          <w:szCs w:val="20"/>
        </w:rPr>
        <w:t>Rashodi su manji  u odnosu na isto razdoblje prethodne godine, indeks 75,7.</w:t>
      </w:r>
    </w:p>
    <w:p w14:paraId="282AFBAF" w14:textId="77777777" w:rsidR="00AB5100" w:rsidRPr="00AB5100" w:rsidRDefault="00AB5100" w:rsidP="00AB5100">
      <w:pPr>
        <w:jc w:val="both"/>
        <w:rPr>
          <w:rFonts w:ascii="Arial" w:eastAsia="Calibri" w:hAnsi="Arial" w:cs="Arial"/>
          <w:sz w:val="20"/>
          <w:szCs w:val="20"/>
        </w:rPr>
      </w:pPr>
      <w:r w:rsidRPr="00AB5100">
        <w:rPr>
          <w:rFonts w:ascii="Arial" w:eastAsia="Calibri" w:hAnsi="Arial" w:cs="Arial"/>
          <w:sz w:val="20"/>
          <w:szCs w:val="20"/>
        </w:rPr>
        <w:t>Navedeni rashodi odnose se na:</w:t>
      </w:r>
    </w:p>
    <w:p w14:paraId="1406268B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b/>
          <w:sz w:val="20"/>
          <w:szCs w:val="20"/>
        </w:rPr>
      </w:pPr>
      <w:r w:rsidRPr="00AB5100">
        <w:rPr>
          <w:rFonts w:ascii="Arial" w:hAnsi="Arial" w:cs="Arial"/>
          <w:b/>
          <w:sz w:val="20"/>
          <w:szCs w:val="20"/>
        </w:rPr>
        <w:t xml:space="preserve">RASHODE ZA ZAPOSLENE </w:t>
      </w:r>
      <w:r w:rsidRPr="00AB5100">
        <w:rPr>
          <w:rFonts w:ascii="Arial" w:hAnsi="Arial" w:cs="Arial"/>
          <w:bCs/>
          <w:sz w:val="20"/>
          <w:szCs w:val="20"/>
        </w:rPr>
        <w:t>(31)</w:t>
      </w:r>
      <w:r w:rsidRPr="00AB5100">
        <w:rPr>
          <w:rFonts w:ascii="Arial" w:hAnsi="Arial" w:cs="Arial"/>
          <w:b/>
          <w:sz w:val="20"/>
          <w:szCs w:val="20"/>
        </w:rPr>
        <w:t xml:space="preserve"> – 36.240,49 – </w:t>
      </w:r>
      <w:r w:rsidRPr="00AB5100">
        <w:rPr>
          <w:rFonts w:ascii="Arial" w:hAnsi="Arial" w:cs="Arial"/>
          <w:sz w:val="20"/>
          <w:szCs w:val="20"/>
        </w:rPr>
        <w:t>rashodi se odnose na 3 zaposlene osobe – načelnicu i 2 službenice. Indeks ostvarenja 121,9 u odnosu na isto razdoblje prethodne godine.</w:t>
      </w:r>
    </w:p>
    <w:p w14:paraId="4B015E4A" w14:textId="77777777" w:rsidR="00AB5100" w:rsidRPr="00AB5100" w:rsidRDefault="00AB5100" w:rsidP="00AB5100">
      <w:pPr>
        <w:pStyle w:val="Odlomakpopisa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E8B14C7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b/>
          <w:sz w:val="20"/>
          <w:szCs w:val="20"/>
        </w:rPr>
        <w:t>MATERIJALNE RASHODE</w:t>
      </w:r>
      <w:r w:rsidRPr="00AB5100">
        <w:rPr>
          <w:rFonts w:ascii="Arial" w:hAnsi="Arial" w:cs="Arial"/>
          <w:sz w:val="20"/>
          <w:szCs w:val="20"/>
        </w:rPr>
        <w:t xml:space="preserve"> (32)–</w:t>
      </w:r>
      <w:r w:rsidRPr="00AB5100">
        <w:rPr>
          <w:rFonts w:ascii="Arial" w:hAnsi="Arial" w:cs="Arial"/>
          <w:b/>
          <w:sz w:val="20"/>
          <w:szCs w:val="20"/>
        </w:rPr>
        <w:t xml:space="preserve"> 59.716,63</w:t>
      </w:r>
      <w:r w:rsidRPr="00AB5100">
        <w:rPr>
          <w:rFonts w:ascii="Arial" w:hAnsi="Arial" w:cs="Arial"/>
          <w:sz w:val="20"/>
          <w:szCs w:val="20"/>
        </w:rPr>
        <w:t xml:space="preserve"> – </w:t>
      </w:r>
      <w:r w:rsidRPr="00AB5100">
        <w:rPr>
          <w:rFonts w:ascii="Arial" w:hAnsi="Arial" w:cs="Arial"/>
          <w:bCs/>
          <w:sz w:val="20"/>
          <w:szCs w:val="20"/>
        </w:rPr>
        <w:t>indeks 33,2</w:t>
      </w:r>
      <w:r w:rsidRPr="00AB5100">
        <w:rPr>
          <w:rFonts w:ascii="Arial" w:hAnsi="Arial" w:cs="Arial"/>
          <w:sz w:val="20"/>
          <w:szCs w:val="20"/>
        </w:rPr>
        <w:t xml:space="preserve"> u odnosu na isto razdoblje prethodne godine. Značajno smanjenje materijalnih rashoda u ovom razdoblju u odnosu na prethodno iskazano je zbog toga što  u istom razdoblju prošle godine  je dobivena  pomoć iz EU sredstava utrošena na sanaciju i održavanje nerazvrstanih cesta od potresa.</w:t>
      </w:r>
    </w:p>
    <w:p w14:paraId="08A8CC3F" w14:textId="77777777" w:rsidR="00AB5100" w:rsidRPr="00AB5100" w:rsidRDefault="00AB5100" w:rsidP="00AB5100">
      <w:pPr>
        <w:pStyle w:val="Odlomakpopisa"/>
        <w:rPr>
          <w:rFonts w:ascii="Arial" w:hAnsi="Arial" w:cs="Arial"/>
          <w:b/>
          <w:sz w:val="20"/>
          <w:szCs w:val="20"/>
        </w:rPr>
      </w:pPr>
    </w:p>
    <w:p w14:paraId="4EB037F8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b/>
          <w:sz w:val="20"/>
          <w:szCs w:val="20"/>
        </w:rPr>
        <w:t>FINANCIJSKE RASHODE</w:t>
      </w:r>
      <w:r w:rsidRPr="00AB5100">
        <w:rPr>
          <w:rFonts w:ascii="Arial" w:hAnsi="Arial" w:cs="Arial"/>
          <w:sz w:val="20"/>
          <w:szCs w:val="20"/>
        </w:rPr>
        <w:t xml:space="preserve"> (34)-  </w:t>
      </w:r>
      <w:r w:rsidRPr="00AB5100">
        <w:rPr>
          <w:rFonts w:ascii="Arial" w:hAnsi="Arial" w:cs="Arial"/>
          <w:b/>
          <w:sz w:val="20"/>
          <w:szCs w:val="20"/>
        </w:rPr>
        <w:t>3.060,38</w:t>
      </w:r>
      <w:r w:rsidRPr="00AB5100">
        <w:rPr>
          <w:rFonts w:ascii="Arial" w:hAnsi="Arial" w:cs="Arial"/>
          <w:bCs/>
          <w:sz w:val="20"/>
          <w:szCs w:val="20"/>
        </w:rPr>
        <w:t>, indeks 591,8</w:t>
      </w:r>
      <w:r w:rsidRPr="00AB5100">
        <w:rPr>
          <w:rFonts w:ascii="Arial" w:hAnsi="Arial" w:cs="Arial"/>
          <w:sz w:val="20"/>
          <w:szCs w:val="20"/>
        </w:rPr>
        <w:t xml:space="preserve"> u odnosu na isto razdoblje prethodne  godine i to prvenstveno zbog naknade za obradu  kredita za financiranje izgradnje vrtića.</w:t>
      </w:r>
    </w:p>
    <w:p w14:paraId="59600FF1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sz w:val="20"/>
          <w:szCs w:val="20"/>
        </w:rPr>
      </w:pPr>
    </w:p>
    <w:p w14:paraId="55506B23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b/>
          <w:sz w:val="20"/>
          <w:szCs w:val="20"/>
        </w:rPr>
        <w:t xml:space="preserve">POMOĆI DANE U INOZEMSTVO I UNUTAR OPĆEG PRORAČUNA </w:t>
      </w:r>
      <w:r w:rsidRPr="00AB5100">
        <w:rPr>
          <w:rFonts w:ascii="Arial" w:hAnsi="Arial" w:cs="Arial"/>
          <w:bCs/>
          <w:sz w:val="20"/>
          <w:szCs w:val="20"/>
        </w:rPr>
        <w:t>(36)</w:t>
      </w:r>
      <w:r w:rsidRPr="00AB5100">
        <w:rPr>
          <w:rFonts w:ascii="Arial" w:hAnsi="Arial" w:cs="Arial"/>
          <w:b/>
          <w:sz w:val="20"/>
          <w:szCs w:val="20"/>
        </w:rPr>
        <w:t xml:space="preserve"> – 5.425,65 </w:t>
      </w:r>
      <w:r w:rsidRPr="00AB5100">
        <w:rPr>
          <w:rFonts w:ascii="Arial" w:hAnsi="Arial" w:cs="Arial"/>
          <w:sz w:val="20"/>
          <w:szCs w:val="20"/>
        </w:rPr>
        <w:t xml:space="preserve"> </w:t>
      </w:r>
      <w:r w:rsidRPr="00AB5100">
        <w:rPr>
          <w:rFonts w:ascii="Arial" w:hAnsi="Arial" w:cs="Arial"/>
          <w:bCs/>
          <w:sz w:val="20"/>
          <w:szCs w:val="20"/>
        </w:rPr>
        <w:t>indeks 108,7</w:t>
      </w:r>
      <w:r w:rsidRPr="00AB5100">
        <w:rPr>
          <w:rFonts w:ascii="Arial" w:hAnsi="Arial" w:cs="Arial"/>
          <w:sz w:val="20"/>
          <w:szCs w:val="20"/>
        </w:rPr>
        <w:t xml:space="preserve"> u odnosu na isto razdoblje prethodne godine.</w:t>
      </w:r>
    </w:p>
    <w:p w14:paraId="092B0EB6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color w:val="FF0000"/>
          <w:sz w:val="20"/>
          <w:szCs w:val="20"/>
        </w:rPr>
      </w:pPr>
    </w:p>
    <w:p w14:paraId="53E00C4C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b/>
          <w:sz w:val="20"/>
          <w:szCs w:val="20"/>
        </w:rPr>
        <w:t xml:space="preserve">NAKNADE GRAĐANIMA I KUĆANSTVIMA </w:t>
      </w:r>
      <w:r w:rsidRPr="00AB5100">
        <w:rPr>
          <w:rFonts w:ascii="Arial" w:hAnsi="Arial" w:cs="Arial"/>
          <w:bCs/>
          <w:sz w:val="20"/>
          <w:szCs w:val="20"/>
        </w:rPr>
        <w:t>(37)</w:t>
      </w:r>
      <w:r w:rsidRPr="00AB5100">
        <w:rPr>
          <w:rFonts w:ascii="Arial" w:hAnsi="Arial" w:cs="Arial"/>
          <w:b/>
          <w:sz w:val="20"/>
          <w:szCs w:val="20"/>
        </w:rPr>
        <w:t xml:space="preserve"> – 10.656,80</w:t>
      </w:r>
      <w:r w:rsidRPr="00AB5100">
        <w:rPr>
          <w:rFonts w:ascii="Arial" w:hAnsi="Arial" w:cs="Arial"/>
          <w:sz w:val="20"/>
          <w:szCs w:val="20"/>
        </w:rPr>
        <w:t xml:space="preserve">, </w:t>
      </w:r>
      <w:r w:rsidRPr="00AB5100">
        <w:rPr>
          <w:rFonts w:ascii="Arial" w:hAnsi="Arial" w:cs="Arial"/>
          <w:bCs/>
          <w:sz w:val="20"/>
          <w:szCs w:val="20"/>
        </w:rPr>
        <w:t>indeks 90,5</w:t>
      </w:r>
      <w:r w:rsidRPr="00AB5100">
        <w:rPr>
          <w:rFonts w:ascii="Arial" w:hAnsi="Arial" w:cs="Arial"/>
          <w:sz w:val="20"/>
          <w:szCs w:val="20"/>
        </w:rPr>
        <w:t xml:space="preserve"> u odnosu na isto razdoblje prethodne godine.</w:t>
      </w:r>
    </w:p>
    <w:p w14:paraId="55449194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sz w:val="20"/>
          <w:szCs w:val="20"/>
        </w:rPr>
      </w:pPr>
    </w:p>
    <w:p w14:paraId="4291D007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b/>
          <w:sz w:val="20"/>
          <w:szCs w:val="20"/>
        </w:rPr>
        <w:t xml:space="preserve">OSTALI RASHODI </w:t>
      </w:r>
      <w:r w:rsidRPr="00AB5100">
        <w:rPr>
          <w:rFonts w:ascii="Arial" w:hAnsi="Arial" w:cs="Arial"/>
          <w:bCs/>
          <w:sz w:val="20"/>
          <w:szCs w:val="20"/>
        </w:rPr>
        <w:t>(38)</w:t>
      </w:r>
      <w:r w:rsidRPr="00AB5100">
        <w:rPr>
          <w:rFonts w:ascii="Arial" w:hAnsi="Arial" w:cs="Arial"/>
          <w:b/>
          <w:sz w:val="20"/>
          <w:szCs w:val="20"/>
        </w:rPr>
        <w:t xml:space="preserve"> – u iznosu od 70.824,26 – </w:t>
      </w:r>
      <w:r w:rsidRPr="00AB5100">
        <w:rPr>
          <w:rFonts w:ascii="Arial" w:hAnsi="Arial" w:cs="Arial"/>
          <w:bCs/>
          <w:sz w:val="20"/>
          <w:szCs w:val="20"/>
        </w:rPr>
        <w:t>indeks 374,5 prema</w:t>
      </w:r>
      <w:r w:rsidRPr="00AB5100">
        <w:rPr>
          <w:rFonts w:ascii="Arial" w:hAnsi="Arial" w:cs="Arial"/>
          <w:sz w:val="20"/>
          <w:szCs w:val="20"/>
        </w:rPr>
        <w:t xml:space="preserve"> istom razdoblju prethodne godine. Veliku stavku u ostalim rashodima ovog razdoblja čini kapitalna donacija DVD-u Rakovec u iznosu od 45.000,00 eura za nabavu novog vatrogasnog vozila.</w:t>
      </w:r>
    </w:p>
    <w:p w14:paraId="6EE680A5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sz w:val="20"/>
          <w:szCs w:val="20"/>
        </w:rPr>
      </w:pPr>
    </w:p>
    <w:p w14:paraId="1BE22D8F" w14:textId="77777777" w:rsidR="00AB5100" w:rsidRPr="00AB5100" w:rsidRDefault="00AB5100" w:rsidP="00AB5100">
      <w:pPr>
        <w:pStyle w:val="Odlomakpopisa"/>
        <w:spacing w:after="200"/>
        <w:jc w:val="both"/>
        <w:rPr>
          <w:rFonts w:ascii="Arial" w:hAnsi="Arial" w:cs="Arial"/>
          <w:sz w:val="20"/>
          <w:szCs w:val="20"/>
        </w:rPr>
      </w:pPr>
    </w:p>
    <w:p w14:paraId="4EFA84EA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14:paraId="7BC9E729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</w:p>
    <w:p w14:paraId="0BB60E27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B5100">
        <w:rPr>
          <w:rFonts w:ascii="Arial" w:hAnsi="Arial" w:cs="Arial"/>
          <w:b/>
          <w:sz w:val="20"/>
          <w:szCs w:val="20"/>
          <w:u w:val="single"/>
        </w:rPr>
        <w:t xml:space="preserve">RASHODI ZA NABAVU NEFINANCIJSKE IMOVINE  </w:t>
      </w:r>
      <w:r w:rsidRPr="00AB5100">
        <w:rPr>
          <w:rFonts w:ascii="Arial" w:hAnsi="Arial" w:cs="Arial"/>
          <w:bCs/>
          <w:sz w:val="20"/>
          <w:szCs w:val="20"/>
          <w:u w:val="single"/>
        </w:rPr>
        <w:t>(4)</w:t>
      </w:r>
      <w:r w:rsidRPr="00AB510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AB5100">
        <w:rPr>
          <w:rFonts w:ascii="Arial" w:hAnsi="Arial" w:cs="Arial"/>
          <w:b/>
          <w:sz w:val="20"/>
          <w:szCs w:val="20"/>
        </w:rPr>
        <w:t xml:space="preserve">– iznose 248.316,44 </w:t>
      </w:r>
      <w:r w:rsidRPr="00AB5100">
        <w:rPr>
          <w:rFonts w:ascii="Arial" w:hAnsi="Arial" w:cs="Arial"/>
          <w:bCs/>
          <w:sz w:val="20"/>
          <w:szCs w:val="20"/>
        </w:rPr>
        <w:t>, indeks 397,1 u odnosu na  isto razdoblje prethodne godine. Najznačajniji udio u ovim rashodima čine troškovi dovršetka izgradnje III. dionice nogostupa u Rakovcu (60.831,80), privremene situacije i drugi troškovi na izgradnji dječjeg vrtića (118.874,52), uređenje raskrižja u Mlaki (33.281,55), sakralnog objekta u Mlaki (13.403,19) i drugi manje značajni troškovi.</w:t>
      </w:r>
    </w:p>
    <w:p w14:paraId="6249A431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E2CC437" w14:textId="77777777" w:rsidR="00AB5100" w:rsidRPr="00AB5100" w:rsidRDefault="00AB5100" w:rsidP="00AB5100">
      <w:pPr>
        <w:pStyle w:val="Odlomakpopisa"/>
        <w:spacing w:after="200"/>
        <w:ind w:left="0"/>
        <w:jc w:val="both"/>
        <w:rPr>
          <w:rFonts w:ascii="Arial" w:hAnsi="Arial" w:cs="Arial"/>
          <w:sz w:val="20"/>
          <w:szCs w:val="20"/>
        </w:rPr>
      </w:pPr>
      <w:r w:rsidRPr="00AB5100">
        <w:rPr>
          <w:rFonts w:ascii="Arial" w:hAnsi="Arial" w:cs="Arial"/>
          <w:b/>
          <w:sz w:val="20"/>
          <w:szCs w:val="20"/>
          <w:u w:val="single"/>
        </w:rPr>
        <w:t>IZDACI ZA FINANCIJSKU IMOVINU I OTPLATE ZAJMOVA</w:t>
      </w:r>
      <w:r w:rsidRPr="00AB5100">
        <w:rPr>
          <w:rFonts w:ascii="Arial" w:hAnsi="Arial" w:cs="Arial"/>
          <w:b/>
          <w:sz w:val="20"/>
          <w:szCs w:val="20"/>
        </w:rPr>
        <w:t xml:space="preserve"> </w:t>
      </w:r>
      <w:r w:rsidRPr="00AB5100">
        <w:rPr>
          <w:rFonts w:ascii="Arial" w:hAnsi="Arial" w:cs="Arial"/>
          <w:bCs/>
          <w:sz w:val="20"/>
          <w:szCs w:val="20"/>
        </w:rPr>
        <w:t>(5)</w:t>
      </w:r>
      <w:r w:rsidRPr="00AB5100">
        <w:rPr>
          <w:rFonts w:ascii="Arial" w:hAnsi="Arial" w:cs="Arial"/>
          <w:b/>
          <w:sz w:val="20"/>
          <w:szCs w:val="20"/>
        </w:rPr>
        <w:t>– iznose 2.720,72</w:t>
      </w:r>
      <w:r w:rsidRPr="00AB5100">
        <w:rPr>
          <w:rFonts w:ascii="Arial" w:hAnsi="Arial" w:cs="Arial"/>
          <w:bCs/>
          <w:sz w:val="20"/>
          <w:szCs w:val="20"/>
        </w:rPr>
        <w:t>, indeks 27,8</w:t>
      </w:r>
      <w:r w:rsidRPr="00AB5100">
        <w:rPr>
          <w:rFonts w:ascii="Arial" w:hAnsi="Arial" w:cs="Arial"/>
          <w:sz w:val="20"/>
          <w:szCs w:val="20"/>
        </w:rPr>
        <w:t xml:space="preserve"> i to stoga što je u 2023. bilo potrebno manje namirenje iz Držanog proračuna za povrat poreza građanima nego u izvještajnom razdoblju prethodne godine. Iskazani izdaci odnose se na otplatu namirenja iz državnog proračuna za povrat poreza po godišnjem obračunu poreza za 2022. koji je građanima vraćen u 2023., a koja sredstva Općina vraća u Državni proračun u prvom kvartalu  2024.g.</w:t>
      </w:r>
    </w:p>
    <w:p w14:paraId="567058B5" w14:textId="77777777" w:rsidR="00AB5100" w:rsidRPr="00AB5100" w:rsidRDefault="00AB5100" w:rsidP="00AB5100">
      <w:pPr>
        <w:rPr>
          <w:rFonts w:ascii="Arial" w:eastAsia="Calibri" w:hAnsi="Arial" w:cs="Arial"/>
          <w:b/>
          <w:sz w:val="20"/>
          <w:szCs w:val="20"/>
        </w:rPr>
      </w:pPr>
    </w:p>
    <w:p w14:paraId="2F07F2B8" w14:textId="77777777" w:rsidR="00AB5100" w:rsidRPr="005D026D" w:rsidRDefault="005D026D" w:rsidP="005D026D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I. Izmjene i dopune Proračuna Općine Rakovec donesene su na Općinskom vijeću 26.06.2024. godine.</w:t>
      </w:r>
    </w:p>
    <w:p w14:paraId="5EF743F3" w14:textId="77777777" w:rsidR="00A00C29" w:rsidRPr="00AB5100" w:rsidRDefault="00A00C29" w:rsidP="00ED647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00C29" w:rsidRPr="00AB5100" w:rsidSect="003C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9095F"/>
    <w:multiLevelType w:val="hybridMultilevel"/>
    <w:tmpl w:val="C436F614"/>
    <w:lvl w:ilvl="0" w:tplc="1CDEE3C4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855AC"/>
    <w:multiLevelType w:val="hybridMultilevel"/>
    <w:tmpl w:val="19BCADB0"/>
    <w:lvl w:ilvl="0" w:tplc="CEAAD7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430BA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53776953">
    <w:abstractNumId w:val="0"/>
  </w:num>
  <w:num w:numId="2" w16cid:durableId="106658808">
    <w:abstractNumId w:val="2"/>
  </w:num>
  <w:num w:numId="3" w16cid:durableId="76325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79"/>
    <w:rsid w:val="003A1D2B"/>
    <w:rsid w:val="003C21A2"/>
    <w:rsid w:val="003C465C"/>
    <w:rsid w:val="005D026D"/>
    <w:rsid w:val="00660491"/>
    <w:rsid w:val="00786405"/>
    <w:rsid w:val="00970E8A"/>
    <w:rsid w:val="009A1672"/>
    <w:rsid w:val="00A00C29"/>
    <w:rsid w:val="00AB5100"/>
    <w:rsid w:val="00AD27D6"/>
    <w:rsid w:val="00D164EA"/>
    <w:rsid w:val="00ED6479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5253"/>
  <w15:docId w15:val="{B4B3CBE3-34BF-485E-BF80-9C433CEE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0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2</cp:revision>
  <dcterms:created xsi:type="dcterms:W3CDTF">2024-07-10T08:21:00Z</dcterms:created>
  <dcterms:modified xsi:type="dcterms:W3CDTF">2024-07-10T08:21:00Z</dcterms:modified>
</cp:coreProperties>
</file>